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18 vom 6. September 2024</w:t>
      </w:r>
    </w:p>
    <w:p>
      <w:r>
        <w:t>GR Gerichte, 2024-09-06, DE</w:t>
      </w:r>
    </w:p>
    <w:p>
      <w:r>
        <w:rPr>
          <w:b/>
        </w:rPr>
        <w:t xml:space="preserve">Quelle: </w:t>
      </w:r>
      <w:r>
        <w:t>https://mcp.opencaselaw.ch/entscheid/gr_gerichte_SK1 2023 18</w:t>
      </w:r>
    </w:p>
    <w:p>
      <w:r>
        <w:t>FR: GR_GERICHTE SK1 2023 18 du 6 septembre 2024</w:t>
      </w:r>
    </w:p>
    <w:p>
      <w:r>
        <w:t>IT: GR_GERICHTE SK1 2023 18 del 6 settembre 2024</w:t>
      </w:r>
    </w:p>
    <w:p>
      <w:pPr>
        <w:pStyle w:val="Heading2"/>
      </w:pPr>
      <w:r>
        <w:t>Regeste</w:t>
      </w:r>
    </w:p>
    <w:p>
      <w:r>
        <w:t>mehrfacher Ungehörsam gegen eine amtliche Verfügung | StGB 285-294 Öffentliche Gewalt</w:t>
      </w:r>
    </w:p>
    <w:p>
      <w:pPr>
        <w:pStyle w:val="Heading2"/>
      </w:pPr>
      <w:r>
        <w:t>Erwägungen</w:t>
      </w:r>
    </w:p>
    <w:p>
      <w:r>
        <w:rPr>
          <w:b/>
        </w:rPr>
        <w:t>E. 1</w:t>
      </w:r>
    </w:p>
    <w:p>
      <w:r>
        <w:t>Gegen das angefochtene Urteil des Regionalgerichts Plessur ist die Beru- fung zulässig (Art. 398 Abs. 1 StPO). Die I. Strafkammer des Kantonsgerichts von Graubünden ist zur Behandlung der vorliegenden Berufung zuständig (vgl. Art. 22 des Einführungsgesetzes zur Schweizerischen Strafprozessordnung [EGzStPO; BR 350.100;] i.V.m. Art. 9 Abs. 1 der Verordnung über die Organisation des Kan- tonsgerichts [KGV; BR 173.100]). Die formellen Anforderungen an die Berufung sind vorliegend eingehalten (Art. 399 StPO). Auf die Berufung ist einzutreten. 2.1. Bilden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2.2. Tritt das Berufungsgericht auf die Berufung ein, so fällt es ein neues Urteil, welches das erstinstanzliche Urteil ersetzt (Art. 408 StPO). Weist das erstinstanz- liche Verfahren aber wesentliche Mängel auf, die im Berufungsverfahren nicht ge- heilt werden können, so hebt das Berufungsgericht das angefochtene Urteil auf und weist die Sache zur Durchführung eines neuen Hauptverfahrens und zur Fäl- lung eines neuen Urteils an das erstinstanzliche Gericht zurück (Art. 409 Abs. 1 StPO). Gestützt auf Art. 406 Abs. 1 lit. c StPO kann das Berufungsverfahren schriftlich durchgeführt werden.</w:t>
      </w:r>
    </w:p>
    <w:p>
      <w:r>
        <w:rPr>
          <w:b/>
        </w:rPr>
        <w:t>E. 3</w:t>
      </w:r>
    </w:p>
    <w:p>
      <w:r>
        <w:t>In der Anklage wird der Beschuldigten zusammengefasst vorgeworfen, sie habe trotz Kenntnis der neuen Besuchsrechtsregelung und entsprechender Auf- forderungen der Kindes- und Erwachsenenschutzbehörde Nordbünden (nachfol- gend KESB) vom 15. Mai 2020 und 23. Juli 2020, die behördlich festgelegten Be- suchskontakte umzusetzen, im Zeitraum vom 21. März 2020 bis 26. Oktober 2020 den B._____ zustehenden persönlichen Besuchskontakt zu seinem Sohn C._____ verweigert. Stattdessen habe sie B._____ einen regelmässigen Videokontakt zu seinem Sohn via Skype gewährt. Die Verfügung der KESB sei unter der Strafan- drohung von Art. 292 StGB erfolgt (RG act. 5). 4.1. Die Beschuldigte macht in ihrer Berufung unter anderem geltend, die Unter- suchung durch die Staatsanwaltschaft Graubünden sei nicht vollständig durchge- führt worden und daher lückenhaft. Auch das erstinstanzliche Gericht habe in sei- nem Urteil verschiedene Rechtfertigungsgründe ausser Acht gelassen, da die Staatsanwaltschaft diese nicht untersucht habe. Damit sei die Staatsanwaltschaft</w:t>
      </w:r>
    </w:p>
    <w:p>
      <w:r>
        <w:rPr>
          <w:b/>
        </w:rPr>
        <w:t>E. 4</w:t>
      </w:r>
    </w:p>
    <w:p>
      <w:r>
        <w:t>/ 7 ihrer Pflicht, sowohl belastende als auch entlastende Beweise abzunehmen, nicht nachgekommen (act. A.4, Rz. 18 ff.). 4.2.1. Auf welche Rechtfertigungsgründe die Beschuldigte sich konkret bezieht, lässt sich aus der Berufungsbegründung nicht erkennen. Vorliegend als gesetzli- cher Rechtfertigungsgrund in Frage kommt jedoch ausschliesslich der Notstand nach Art. 17 f. StGB. Von der Rechtsprechung und Lehre werden zwar auch aus- ser- bzw. übergesetzliche notstandsähnliche Rechtfertigungsgründe wie nament- lich die "rechtfertigende Pflichtenkollision", das "notstandsähnliche Widerstands- recht" sowie die "Wahrung" bzw. "Wahrnehmung berechtigter Interessen" (BGE 129 IV 6 E. 3.3 m.w.H.) anerkannt. Die Anwendung eines übergesetzlichen Recht- fertigungsgrundes kann hier jedoch von vornherein ausgeschlossen werden, wes- halb einzig der Notstand i.S.v. Art. 17 f. StGB zu prüfen ist. 4.2.2. Wer eine mit Strafe bedrohte Tat begeht, um ein Rechtsgut einer anderen Person aus einer unmittelbaren, nicht anders abwendbaren Gefahr zu retten, han- delt rechtmässig, wenn er dadurch höherwertige Interessen wahrt (Art. 17 StGB; sog. rechtfertigender Notstand). Die Legitimation des rechtfertigenden Notstands liegt darin, dass ein Rechtsgut (ein eigenes oder dasjenige eines anderen) einer unmittelbaren Gefahr ausgesetzt ist und sich die Gefahr nur abwenden lässt, in- dem in das Rechtsgut eines Dritten eingegriffen wird (Marcel Alexander Nigg- li/Carola Göhlich, in: Niggli/Wiprächtiger [Hrsg.], Basler Kommentar, Strafrecht, 4. Aufl., Basel 2019, N 10 zu Art. 17 StGB m.w.H.). Die Anwendbarkeit des rechtfer- tigenden Notstands setzt damit zum einen eine Notstandslage, d.h. eine unmittel- bare Gefahr für ein Individualrechtsgut, sowie eine Notstandshandlung des Täters voraus (OGer BE SK 2017 210 v. 2.10.2017 E. 9.1.1). Dabei wird in Bezug auf die Notstandshandlung die absolute Subsidiarität der Handlung vorausgesetzt, wes- halb die Gefahr nicht anders als mittels Vornahme der Notstandshandlung ab- wendbar sein darf (BGer 6B_200/2018 v. 8.8.2018 E. 3.3). Zudem gehört eine In- teressensabwägung zum Kern des rechtfertigenden Notstands, da hier in die Güter eines unbeteiligten Dritten eingegriffen wird, was sich nur durch ein Über- wiegen der individuellen Rechtsgüter des Täters rechtfertigen lässt. Sind die bei- den konfligierenden Güter gleichwertig oder annähernd gleichwertig, kommt nur ein entschuldigender Notstand nach Art. 18 StGB in Frage. Wesentlich ist dabei der Massstab dieser Güterabwägung. Hierzu existiert kein fester Katalog von Kri- terien, doch haben sich unterschiedliche Faktoren herausgebildet, die sich auf die Gewichtung auswirken (zum Ganzen Stefan Trechsel/Christopher Geth, in: Trech- sel/Pieth [Hrsg.], Praxiskommentar, Schweizerisches Strafgesetzbuch, 4. Aufl., Zürich 2021, N 7 f. zu Art. 17 StGB; Niggli/Göhlich, a.a.O., N 16 ff. zu Art. 17 StGB</w:t>
      </w:r>
    </w:p>
    <w:p>
      <w:r>
        <w:rPr>
          <w:b/>
        </w:rPr>
        <w:t>E. 5</w:t>
      </w:r>
    </w:p>
    <w:p>
      <w:r>
        <w:t>Aufgrund der Rückweisung an die Vorinstanz erübrigt es sich, auf die "No- veneingabe" des Verteidigers vom 12. August 2024 (act. A.8) im vorliegenden Be- rufungsverfahren einzugehen.</w:t>
      </w:r>
    </w:p>
    <w:p>
      <w:r>
        <w:rPr>
          <w:b/>
        </w:rPr>
        <w:t>E. 6</w:t>
      </w:r>
    </w:p>
    <w:p>
      <w:r>
        <w:t>In Anwendung von Art. 7 der Verordnung über die Gerichtsgebühren in Strafverfahren (VGS; BR 350.210) werden die Kosten des Berufungsverfahrens auf CHF 2'000.00 festgesetzt. Da eine Aufhebung des angefochtenen Entscheides und eine Rückweisung der Sache an die Vorinstanz erfolgt (Art. 428 Abs. 4 StPO), sind die Kosten vom Kanton Graubünden zu tragen, welcher die Beschuldigte zu- dem mit CHF 2‘000.00 für das Berufungsverfahren zu entschädigen hat. Damit wird auch das Gesuch der Beschuldigten um Gewährung der amtlichen Verteidi- gung, welches ebenfalls am 29. Juni 2023 beim Kantonsgericht Graubünden mit einer separaten Eingabe eingereicht (SK1 23 65) und mit dem vorliegenden Ver- fahren vereinigt wurde, gegenstandslos.</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